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E76084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</w:p>
    <w:p w14:paraId="713BF4C6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</w:p>
    <w:p w14:paraId="797157AF">
      <w:pPr>
        <w:spacing w:line="600" w:lineRule="exact"/>
        <w:jc w:val="center"/>
        <w:rPr>
          <w:rFonts w:hint="eastAsia" w:ascii="仿宋_GB2312" w:eastAsia="仿宋_GB2312"/>
          <w:sz w:val="32"/>
          <w:szCs w:val="32"/>
        </w:rPr>
      </w:pPr>
    </w:p>
    <w:p w14:paraId="391CC9B7">
      <w:pPr>
        <w:spacing w:line="600" w:lineRule="exact"/>
        <w:jc w:val="center"/>
        <w:rPr>
          <w:rFonts w:hint="eastAsia" w:ascii="仿宋_GB2312" w:eastAsia="仿宋_GB2312"/>
          <w:sz w:val="32"/>
          <w:szCs w:val="32"/>
        </w:rPr>
      </w:pPr>
    </w:p>
    <w:p w14:paraId="521FE2DD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</w:p>
    <w:p w14:paraId="12D803A7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滕财发〔2024〕9号</w:t>
      </w:r>
    </w:p>
    <w:p w14:paraId="44E5B6A3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</w:p>
    <w:p w14:paraId="23895B5E">
      <w:pPr>
        <w:spacing w:line="400" w:lineRule="exact"/>
        <w:jc w:val="center"/>
        <w:rPr>
          <w:rFonts w:ascii="仿宋_GB2312" w:eastAsia="仿宋_GB2312"/>
          <w:sz w:val="32"/>
          <w:szCs w:val="32"/>
        </w:rPr>
      </w:pPr>
    </w:p>
    <w:p w14:paraId="2A333D86">
      <w:pPr>
        <w:spacing w:line="400" w:lineRule="exact"/>
        <w:jc w:val="center"/>
        <w:rPr>
          <w:rFonts w:ascii="仿宋_GB2312" w:eastAsia="仿宋_GB2312"/>
          <w:sz w:val="32"/>
          <w:szCs w:val="32"/>
        </w:rPr>
      </w:pPr>
    </w:p>
    <w:p w14:paraId="6B36816C">
      <w:pPr>
        <w:spacing w:line="600" w:lineRule="exact"/>
        <w:jc w:val="center"/>
        <w:rPr>
          <w:rFonts w:ascii="方正小标宋简体" w:hAnsi="华文中宋" w:eastAsia="方正小标宋简体" w:cs="Arial Unicode MS"/>
          <w:spacing w:val="-14"/>
          <w:sz w:val="44"/>
          <w:szCs w:val="44"/>
        </w:rPr>
      </w:pPr>
      <w:r>
        <w:rPr>
          <w:rFonts w:hint="eastAsia" w:ascii="方正小标宋简体" w:hAnsi="华文中宋" w:eastAsia="方正小标宋简体" w:cs="Arial Unicode MS"/>
          <w:spacing w:val="-14"/>
          <w:sz w:val="44"/>
          <w:szCs w:val="44"/>
        </w:rPr>
        <w:t>关于印发《</w:t>
      </w:r>
      <w:r>
        <w:rPr>
          <w:rFonts w:hint="eastAsia" w:ascii="方正小标宋简体" w:eastAsia="方正小标宋简体"/>
          <w:spacing w:val="-14"/>
          <w:sz w:val="44"/>
          <w:szCs w:val="44"/>
        </w:rPr>
        <w:t>“干部上讲台”实施方案</w:t>
      </w:r>
      <w:r>
        <w:rPr>
          <w:rFonts w:hint="eastAsia" w:ascii="方正小标宋简体" w:hAnsi="华文中宋" w:eastAsia="方正小标宋简体" w:cs="Arial Unicode MS"/>
          <w:spacing w:val="-14"/>
          <w:sz w:val="44"/>
          <w:szCs w:val="44"/>
        </w:rPr>
        <w:t>》的通知</w:t>
      </w:r>
    </w:p>
    <w:p w14:paraId="55405771">
      <w:pPr>
        <w:spacing w:line="600" w:lineRule="exact"/>
        <w:rPr>
          <w:rFonts w:ascii="楷体_GB2312" w:hAnsi="Arial Unicode MS" w:eastAsia="楷体_GB2312" w:cs="Arial Unicode MS"/>
          <w:sz w:val="32"/>
          <w:szCs w:val="32"/>
        </w:rPr>
      </w:pPr>
    </w:p>
    <w:p w14:paraId="2DCF5E76">
      <w:pPr>
        <w:spacing w:line="600" w:lineRule="exact"/>
        <w:rPr>
          <w:rFonts w:ascii="仿宋_GB2312" w:hAnsi="Arial Unicode MS" w:eastAsia="仿宋_GB2312" w:cs="Arial Unicode MS"/>
          <w:sz w:val="32"/>
          <w:szCs w:val="32"/>
        </w:rPr>
      </w:pPr>
      <w:r>
        <w:rPr>
          <w:rFonts w:hint="eastAsia" w:ascii="仿宋_GB2312" w:hAnsi="Arial Unicode MS" w:eastAsia="仿宋_GB2312" w:cs="Arial Unicode MS"/>
          <w:sz w:val="32"/>
          <w:szCs w:val="32"/>
        </w:rPr>
        <w:t>各科室，各中心：</w:t>
      </w:r>
    </w:p>
    <w:p w14:paraId="1E9E164D">
      <w:pPr>
        <w:spacing w:line="600" w:lineRule="exact"/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《</w:t>
      </w:r>
      <w:r>
        <w:rPr>
          <w:rFonts w:hint="eastAsia" w:ascii="仿宋_GB2312" w:hAnsi="华文中宋" w:eastAsia="仿宋_GB2312" w:cs="Arial Unicode MS"/>
          <w:sz w:val="32"/>
          <w:szCs w:val="32"/>
        </w:rPr>
        <w:t>“干部上讲台”实施方案</w:t>
      </w:r>
      <w:r>
        <w:rPr>
          <w:rFonts w:hint="eastAsia" w:ascii="仿宋_GB2312" w:hAnsi="宋体" w:eastAsia="仿宋_GB2312" w:cs="宋体"/>
          <w:sz w:val="32"/>
          <w:szCs w:val="32"/>
        </w:rPr>
        <w:t>》已经研究同意，现予印发。请结合各自实际，认真抓好贯彻落实。</w:t>
      </w:r>
    </w:p>
    <w:p w14:paraId="07F1824B">
      <w:pPr>
        <w:spacing w:line="600" w:lineRule="exact"/>
        <w:ind w:firstLine="640" w:firstLineChars="200"/>
        <w:rPr>
          <w:rFonts w:ascii="仿宋_GB2312" w:hAnsi="宋体" w:eastAsia="仿宋_GB2312" w:cs="宋体"/>
          <w:sz w:val="32"/>
          <w:szCs w:val="32"/>
        </w:rPr>
      </w:pPr>
    </w:p>
    <w:p w14:paraId="23B9ECF7">
      <w:pPr>
        <w:spacing w:line="600" w:lineRule="exact"/>
        <w:ind w:firstLine="640" w:firstLineChars="200"/>
        <w:rPr>
          <w:rFonts w:ascii="仿宋_GB2312" w:hAnsi="宋体" w:eastAsia="仿宋_GB2312" w:cs="宋体"/>
          <w:sz w:val="32"/>
          <w:szCs w:val="32"/>
        </w:rPr>
      </w:pPr>
    </w:p>
    <w:p w14:paraId="081F365A">
      <w:pPr>
        <w:spacing w:line="60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20</w:t>
      </w:r>
      <w:r>
        <w:rPr>
          <w:rFonts w:hint="eastAsia" w:ascii="仿宋_GB2312" w:hAnsi="宋体" w:eastAsia="仿宋_GB2312" w:cs="宋体"/>
          <w:sz w:val="32"/>
          <w:szCs w:val="32"/>
        </w:rPr>
        <w:t>24年5月17日</w:t>
      </w:r>
    </w:p>
    <w:p w14:paraId="4125263C">
      <w:pPr>
        <w:spacing w:line="600" w:lineRule="exact"/>
        <w:jc w:val="left"/>
        <w:rPr>
          <w:rFonts w:ascii="仿宋_GB2312" w:eastAsia="仿宋_GB2312"/>
          <w:sz w:val="32"/>
          <w:szCs w:val="32"/>
        </w:rPr>
      </w:pPr>
    </w:p>
    <w:p w14:paraId="7DC1478B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</w:p>
    <w:p w14:paraId="4114F969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3861D6CB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5D4E5C60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75F02DAD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78B3D41E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283A8AA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“干部上讲台”实施方案</w:t>
      </w:r>
    </w:p>
    <w:p w14:paraId="043D59E7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77B8D072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一、主要目标</w:t>
      </w:r>
    </w:p>
    <w:p w14:paraId="34802B7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以习近平新时代中国特色社会主义思想为指导，紧扣全市发展大局和财政中心工作，坚持“缺什么补什么、干什么学什么、钻什么精什么”，突出实战性、实操性、实训性，以讲促学、以学促用，营造全员学习、终身学习的浓厚氛围，进一步提升财政干部理论素养、政策水平、专业能力和实践本领，为推进全市财政改革发展提供坚强保障。</w:t>
      </w:r>
    </w:p>
    <w:p w14:paraId="5D18858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二、讲课内容</w:t>
      </w:r>
    </w:p>
    <w:p w14:paraId="6A2E227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（一）财政政策解读</w:t>
      </w:r>
      <w:r>
        <w:rPr>
          <w:rFonts w:hint="eastAsia" w:ascii="仿宋_GB2312" w:eastAsia="仿宋_GB2312"/>
          <w:sz w:val="32"/>
          <w:szCs w:val="32"/>
        </w:rPr>
        <w:t>。上级发布的最新政策，如财政体制改革、金融政策、税收制度变化、专项债券等方面的内容。</w:t>
      </w:r>
    </w:p>
    <w:p w14:paraId="33B1D4B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（二）业务知识专题</w:t>
      </w:r>
      <w:r>
        <w:rPr>
          <w:rFonts w:hint="eastAsia" w:ascii="仿宋_GB2312" w:eastAsia="仿宋_GB2312"/>
          <w:sz w:val="32"/>
          <w:szCs w:val="32"/>
        </w:rPr>
        <w:t>。围绕预算一体化、政府债务管理、直达资金管理、政府采购、项目申报、营商环境等方面的业务知识。</w:t>
      </w:r>
    </w:p>
    <w:p w14:paraId="63EDB4A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（三）财政职能工作</w:t>
      </w:r>
      <w:r>
        <w:rPr>
          <w:rFonts w:hint="eastAsia" w:ascii="仿宋_GB2312" w:eastAsia="仿宋_GB2312"/>
          <w:sz w:val="32"/>
          <w:szCs w:val="32"/>
        </w:rPr>
        <w:t>。结合工作实际，如财源培植管理、对上争取资金、预算绩效管理、财政投资评审、财会监督等方面的经验做法。</w:t>
      </w:r>
    </w:p>
    <w:p w14:paraId="46A4BCC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（四）其他方面</w:t>
      </w:r>
      <w:r>
        <w:rPr>
          <w:rFonts w:hint="eastAsia" w:ascii="仿宋_GB2312" w:eastAsia="仿宋_GB2312"/>
          <w:sz w:val="32"/>
          <w:szCs w:val="32"/>
        </w:rPr>
        <w:t>。与财政工作相关的其他内容，也可以是工作感悟、创新做法等。可根据工作需要，指定专题进行学习。</w:t>
      </w:r>
    </w:p>
    <w:p w14:paraId="6403DAF7">
      <w:pPr>
        <w:spacing w:line="560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三、活动实施</w:t>
      </w:r>
    </w:p>
    <w:p w14:paraId="61A1BED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（一）主讲人员。</w:t>
      </w:r>
      <w:r>
        <w:rPr>
          <w:rFonts w:hint="eastAsia" w:ascii="仿宋_GB2312" w:eastAsia="仿宋_GB2312"/>
          <w:sz w:val="32"/>
          <w:szCs w:val="32"/>
        </w:rPr>
        <w:t>主要以局机关科室、局属各单位科室负责人为主，必要时可指定相关人员。</w:t>
      </w:r>
    </w:p>
    <w:p w14:paraId="56A1F4E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（二）讲课方式。</w:t>
      </w:r>
      <w:r>
        <w:rPr>
          <w:rFonts w:hint="eastAsia" w:ascii="仿宋_GB2312" w:eastAsia="仿宋_GB2312"/>
          <w:sz w:val="32"/>
          <w:szCs w:val="32"/>
        </w:rPr>
        <w:t>形式不固定，鼓励采取PPT方式，一般不少于40分钟。</w:t>
      </w:r>
    </w:p>
    <w:p w14:paraId="2111582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（三）时间安排。</w:t>
      </w:r>
      <w:r>
        <w:rPr>
          <w:rFonts w:hint="eastAsia" w:ascii="仿宋_GB2312" w:eastAsia="仿宋_GB2312"/>
          <w:sz w:val="32"/>
          <w:szCs w:val="32"/>
        </w:rPr>
        <w:t>从2024年5月份开始，依托机关全体人员会议、专题会议等载体，原则上每月至少举办1期，每期安排1-2个部位进行讲课。</w:t>
      </w:r>
    </w:p>
    <w:p w14:paraId="5C7E6D1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（四）听讲人员。</w:t>
      </w:r>
      <w:r>
        <w:rPr>
          <w:rFonts w:hint="eastAsia" w:ascii="仿宋_GB2312" w:eastAsia="仿宋_GB2312"/>
          <w:sz w:val="32"/>
          <w:szCs w:val="32"/>
        </w:rPr>
        <w:t>财政系统干部职工，可结合工作实际，扩大到相关部位人员。</w:t>
      </w:r>
    </w:p>
    <w:p w14:paraId="6A37BB2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（五）组织方式。</w:t>
      </w:r>
      <w:r>
        <w:rPr>
          <w:rFonts w:hint="eastAsia" w:ascii="仿宋_GB2312" w:eastAsia="仿宋_GB2312"/>
          <w:sz w:val="32"/>
          <w:szCs w:val="32"/>
        </w:rPr>
        <w:t>根据各部位提报的授课内容，由局人教科制定“干部上讲台”计划，提请局领导审定后，提前2天安排有关同志做好准备。</w:t>
      </w:r>
    </w:p>
    <w:p w14:paraId="0F9F666E">
      <w:pPr>
        <w:spacing w:line="560" w:lineRule="exact"/>
        <w:ind w:firstLine="800" w:firstLineChars="25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四、其他要求</w:t>
      </w:r>
    </w:p>
    <w:p w14:paraId="168832A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（一）提高思想认识。</w:t>
      </w:r>
      <w:r>
        <w:rPr>
          <w:rFonts w:hint="eastAsia" w:ascii="仿宋_GB2312" w:eastAsia="仿宋_GB2312"/>
          <w:sz w:val="32"/>
          <w:szCs w:val="32"/>
        </w:rPr>
        <w:t>开展“干部上讲台”，是提升我局干部队伍整体素质的重要载体和有力举措，机关各科室、局属各单位要高度重视，积极参与。人教科具体负责活动组织协调工作，保证学习活动的常态化、规范化。</w:t>
      </w:r>
    </w:p>
    <w:p w14:paraId="34A3057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（二）精心组织实施。</w:t>
      </w:r>
      <w:r>
        <w:rPr>
          <w:rFonts w:hint="eastAsia" w:ascii="仿宋_GB2312" w:eastAsia="仿宋_GB2312"/>
          <w:sz w:val="32"/>
          <w:szCs w:val="32"/>
        </w:rPr>
        <w:t>机关各科室、局属各单位，要结合各自实际，主动参与，精心选题，提前做足各项准备工作，授课内容做到主题突出、观点鲜明、逻辑严密，力求做到主题高、观点新、内容实。</w:t>
      </w:r>
    </w:p>
    <w:p w14:paraId="7DB7025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（三）做好总结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提炼</w:t>
      </w:r>
      <w:bookmarkStart w:id="0" w:name="_GoBack"/>
      <w:bookmarkEnd w:id="0"/>
      <w:r>
        <w:rPr>
          <w:rFonts w:hint="eastAsia" w:ascii="楷体_GB2312" w:eastAsia="楷体_GB2312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加强课后交流活动，及时总结活动中的好做法、好经验，更好地应用到财政日常工作中，大力营造“比学赶超、创先争优”的干事创业浓厚氛围。</w:t>
      </w:r>
    </w:p>
    <w:p w14:paraId="5F9CE186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/>
        <w:sz w:val="24"/>
        <w:szCs w:val="24"/>
      </w:rPr>
      <w:id w:val="11526680"/>
      <w:docPartObj>
        <w:docPartGallery w:val="AutoText"/>
      </w:docPartObj>
    </w:sdtPr>
    <w:sdtEndPr>
      <w:rPr>
        <w:rFonts w:asciiTheme="minorEastAsia" w:hAnsiTheme="minorEastAsia"/>
        <w:sz w:val="24"/>
        <w:szCs w:val="24"/>
      </w:rPr>
    </w:sdtEndPr>
    <w:sdtContent>
      <w:p w14:paraId="625A3D31">
        <w:pPr>
          <w:pStyle w:val="2"/>
          <w:jc w:val="center"/>
          <w:rPr>
            <w:rFonts w:asciiTheme="minorEastAsia" w:hAnsiTheme="minorEastAsia"/>
            <w:sz w:val="24"/>
            <w:szCs w:val="24"/>
          </w:rPr>
        </w:pP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 xml:space="preserve"> PAGE   \* MERGEFORMAT 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/>
            <w:sz w:val="24"/>
            <w:szCs w:val="24"/>
            <w:lang w:val="zh-CN"/>
          </w:rPr>
          <w:t>-</w:t>
        </w:r>
        <w:r>
          <w:rPr>
            <w:rFonts w:asciiTheme="minorEastAsia" w:hAnsiTheme="minorEastAsia"/>
            <w:sz w:val="24"/>
            <w:szCs w:val="24"/>
          </w:rPr>
          <w:t xml:space="preserve"> 2 -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  <w:p w14:paraId="5E930E3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VjMzUxMWE1YzllNmFlYmU1ZTEzMzU0OTRhYTVjNGQifQ=="/>
  </w:docVars>
  <w:rsids>
    <w:rsidRoot w:val="00436FB8"/>
    <w:rsid w:val="000701DE"/>
    <w:rsid w:val="00077285"/>
    <w:rsid w:val="00102293"/>
    <w:rsid w:val="00173B07"/>
    <w:rsid w:val="0018095E"/>
    <w:rsid w:val="00184AB7"/>
    <w:rsid w:val="00232DAB"/>
    <w:rsid w:val="00283915"/>
    <w:rsid w:val="002C039A"/>
    <w:rsid w:val="002D2231"/>
    <w:rsid w:val="00381A1B"/>
    <w:rsid w:val="003A79EC"/>
    <w:rsid w:val="00430C8F"/>
    <w:rsid w:val="00436FB8"/>
    <w:rsid w:val="005814C7"/>
    <w:rsid w:val="006D1DA4"/>
    <w:rsid w:val="008976F9"/>
    <w:rsid w:val="008A285F"/>
    <w:rsid w:val="008F0727"/>
    <w:rsid w:val="00AE135D"/>
    <w:rsid w:val="00C82452"/>
    <w:rsid w:val="00CC0627"/>
    <w:rsid w:val="00D06B7C"/>
    <w:rsid w:val="00E20CEC"/>
    <w:rsid w:val="00E52DD2"/>
    <w:rsid w:val="00EB7EAE"/>
    <w:rsid w:val="00F07DEA"/>
    <w:rsid w:val="00F83EE0"/>
    <w:rsid w:val="681B08D6"/>
    <w:rsid w:val="6DA6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976</Words>
  <Characters>991</Characters>
  <Lines>7</Lines>
  <Paragraphs>2</Paragraphs>
  <TotalTime>140</TotalTime>
  <ScaleCrop>false</ScaleCrop>
  <LinksUpToDate>false</LinksUpToDate>
  <CharactersWithSpaces>991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2024-05-16T08:27:00Z</dcterms:created>
  <dc:creator>Administrator</dc:creator>
  <cp:lastModifiedBy>百事可乐</cp:lastModifiedBy>
  <cp:lastPrinted>2024-05-17T08:06:00Z</cp:lastPrinted>
  <dcterms:modified xsi:type="dcterms:W3CDTF">2024-08-19T03:37:29Z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CC4887E36B5D4C0AAEAFE1CE84CCED80_12</vt:lpwstr>
  </property>
</Properties>
</file>